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PRILOG 3 – FUNKCIONALNA/TEHNIČKA SPECIFIKACIJA</w:t>
      </w:r>
    </w:p>
    <w:p>
      <w:pPr>
        <w:jc w:val="center"/>
      </w:pPr>
      <w:r>
        <w:rPr>
          <w:b/>
          <w:sz w:val="24"/>
        </w:rPr>
        <w:t>„Integrirani imenik socijalnih pedagoga“</w:t>
      </w:r>
    </w:p>
    <w:p>
      <w:r>
        <w:t>Ova specifikacija izrađena je po uzoru na funkcionalnu specifikaciju dostavljenu za e-Registar Hrvatske komore socijalnih radnika, uz prilagodbu Hrvatskoj komori socijalnih pedagoga.</w:t>
      </w:r>
    </w:p>
    <w:p>
      <w:pPr>
        <w:pStyle w:val="Heading1"/>
      </w:pPr>
      <w:r>
        <w:t>1. Svrha projekta</w:t>
      </w:r>
    </w:p>
    <w:p>
      <w:r>
        <w:t>Cilj je uspostaviti centralizirani digitalni sustav koji objedinjuje relevantne podatke o socijalnim pedagozima koje vodi Komora, omogućuje učinkovito upravljanje imenikom i povezanim evidencijama, kontrolirani pristup podacima, izvještavanje, uvoz/izvoz podataka i mogućnost interoperabilnosti s vanjskim sustavima.</w:t>
      </w:r>
    </w:p>
    <w:p>
      <w:pPr>
        <w:pStyle w:val="Heading1"/>
      </w:pPr>
      <w:r>
        <w:t>2. Osnovna načela ciljanog rješenja</w:t>
      </w:r>
    </w:p>
    <w:p>
      <w:pPr>
        <w:pStyle w:val="ListBullet"/>
      </w:pPr>
      <w:r>
        <w:t>jedinstvena relacijska baza podataka</w:t>
      </w:r>
    </w:p>
    <w:p>
      <w:pPr>
        <w:pStyle w:val="ListBullet"/>
      </w:pPr>
      <w:r>
        <w:t>web-aplikacija dostupna ovlaštenim korisnicima</w:t>
      </w:r>
    </w:p>
    <w:p>
      <w:pPr>
        <w:pStyle w:val="ListBullet"/>
      </w:pPr>
      <w:r>
        <w:t>javni dio imenika s podacima koji su dopušteni za javnu objavu</w:t>
      </w:r>
    </w:p>
    <w:p>
      <w:pPr>
        <w:pStyle w:val="ListBullet"/>
      </w:pPr>
      <w:r>
        <w:t>administrativni dio za ovlaštene korisnike Komore</w:t>
      </w:r>
    </w:p>
    <w:p>
      <w:pPr>
        <w:pStyle w:val="ListBullet"/>
      </w:pPr>
      <w:r>
        <w:t>upravljanje korisnicima, ulogama i pravima pristupa</w:t>
      </w:r>
    </w:p>
    <w:p>
      <w:pPr>
        <w:pStyle w:val="ListBullet"/>
      </w:pPr>
      <w:r>
        <w:t>vođenje dnevničkih zapisa (audit/log) svih relevantnih radnji</w:t>
      </w:r>
    </w:p>
    <w:p>
      <w:pPr>
        <w:pStyle w:val="ListBullet"/>
      </w:pPr>
      <w:r>
        <w:t>automatizirani uvoz i izvoz podataka</w:t>
      </w:r>
    </w:p>
    <w:p>
      <w:pPr>
        <w:pStyle w:val="ListBullet"/>
      </w:pPr>
      <w:r>
        <w:t>API sučelja za povezivanje s vanjskim sustavima</w:t>
      </w:r>
    </w:p>
    <w:p>
      <w:pPr>
        <w:pStyle w:val="ListBullet"/>
      </w:pPr>
      <w:r>
        <w:t>sigurna autentikacija i autorizacija</w:t>
      </w:r>
    </w:p>
    <w:p>
      <w:pPr>
        <w:pStyle w:val="ListBullet"/>
      </w:pPr>
      <w:r>
        <w:t>mogućnost generiranja izvještaja</w:t>
      </w:r>
    </w:p>
    <w:p>
      <w:pPr>
        <w:pStyle w:val="ListBullet"/>
      </w:pPr>
      <w:r>
        <w:t>mogućnost buduće integracije s e-uslugama i državnim/vanjskim sustavima</w:t>
      </w:r>
    </w:p>
    <w:p>
      <w:pPr>
        <w:pStyle w:val="Heading1"/>
      </w:pPr>
      <w:r>
        <w:t>3. Jedinstvena baza podataka</w:t>
      </w:r>
    </w:p>
    <w:p>
      <w:r>
        <w:t>Potrebno je analizirati postojeće evidencije Komore, identificirati entitete i veze, provesti potrebnu normalizaciju te izraditi logički i fizički model podataka.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Skupina entiteta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rPr>
                <w:b/>
              </w:rPr>
              <w:t>Minimalni obuhvat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Korisnici sustava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korisnici, uloge, prava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Članovi i socijalni pedagozi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osnovni podaci, članstvo, statusi i relevantne evidencije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Imenici i upisnici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evidencije koje Komora vodi temeljem propisa i svojih akata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Poslovni procesi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statusi, koraci, dokumenti i rokovi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Dokumenti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dokumenti vezani uz osobu/proces, verzije i statusi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Audit/log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korisnik, datum/vrijeme, radnja, zapis promjene</w:t>
            </w:r>
          </w:p>
        </w:tc>
      </w:tr>
      <w:tr>
        <w:tc>
          <w:tcPr>
            <w:tcW w:type="dxa" w:w="4703"/>
            <w:vAlign w:val="center"/>
          </w:tcPr>
          <w:p>
            <w:pPr>
              <w:spacing w:after="0"/>
            </w:pPr>
            <w:r>
              <w:t>API postavke</w:t>
            </w:r>
          </w:p>
        </w:tc>
        <w:tc>
          <w:tcPr>
            <w:tcW w:type="dxa" w:w="4703"/>
            <w:vAlign w:val="center"/>
          </w:tcPr>
          <w:p>
            <w:pPr>
              <w:spacing w:after="0"/>
            </w:pPr>
            <w:r>
              <w:t>mapiranja podataka, prava pristupa i konfiguracija</w:t>
            </w:r>
          </w:p>
        </w:tc>
      </w:tr>
    </w:tbl>
    <w:p>
      <w:pPr>
        <w:pStyle w:val="Heading1"/>
      </w:pPr>
      <w:r>
        <w:t>4. Web-aplikacija</w:t>
      </w:r>
    </w:p>
    <w:p>
      <w:pPr>
        <w:pStyle w:val="Heading2"/>
      </w:pPr>
      <w:r>
        <w:t>4.1. Modul imenika i upisnika</w:t>
      </w:r>
    </w:p>
    <w:p>
      <w:pPr>
        <w:pStyle w:val="ListBullet"/>
      </w:pPr>
      <w:r>
        <w:t>unos podataka</w:t>
      </w:r>
    </w:p>
    <w:p>
      <w:pPr>
        <w:pStyle w:val="ListBullet"/>
      </w:pPr>
      <w:r>
        <w:t>izmjena podataka</w:t>
      </w:r>
    </w:p>
    <w:p>
      <w:pPr>
        <w:pStyle w:val="ListBullet"/>
      </w:pPr>
      <w:r>
        <w:t>kontrolirano brisanje gdje je dopušteno</w:t>
      </w:r>
    </w:p>
    <w:p>
      <w:pPr>
        <w:pStyle w:val="ListBullet"/>
      </w:pPr>
      <w:r>
        <w:t>pregled i pretraživanje</w:t>
      </w:r>
    </w:p>
    <w:p>
      <w:pPr>
        <w:pStyle w:val="ListBullet"/>
      </w:pPr>
      <w:r>
        <w:t>filtriranje prema dostupnim kriterijima</w:t>
      </w:r>
    </w:p>
    <w:p>
      <w:pPr>
        <w:pStyle w:val="ListBullet"/>
      </w:pPr>
      <w:r>
        <w:t>evidentiranje povijesti promjena</w:t>
      </w:r>
    </w:p>
    <w:p>
      <w:pPr>
        <w:pStyle w:val="ListBullet"/>
      </w:pPr>
      <w:r>
        <w:t>statusi zapisa</w:t>
      </w:r>
    </w:p>
    <w:p>
      <w:pPr>
        <w:pStyle w:val="ListBullet"/>
      </w:pPr>
      <w:r>
        <w:t>uvoz podataka</w:t>
      </w:r>
    </w:p>
    <w:p>
      <w:pPr>
        <w:pStyle w:val="ListBullet"/>
      </w:pPr>
      <w:r>
        <w:t>izvoz podataka</w:t>
      </w:r>
    </w:p>
    <w:p>
      <w:pPr>
        <w:pStyle w:val="Heading2"/>
      </w:pPr>
      <w:r>
        <w:t>4.2. Javni imenik</w:t>
      </w:r>
    </w:p>
    <w:p>
      <w:r>
        <w:t>Javni dio omogućuje pretraživanje i prikaz samo onih podataka za koje postoji pravna osnova i koje Komora odredi za javnu objavu. Potrebno je omogućiti administrativno određivanje javno vidljivih polja.</w:t>
      </w:r>
    </w:p>
    <w:p>
      <w:pPr>
        <w:pStyle w:val="ListBullet"/>
      </w:pPr>
      <w:r>
        <w:t>pretraživanje po imenu i prezimenu</w:t>
      </w:r>
    </w:p>
    <w:p>
      <w:pPr>
        <w:pStyle w:val="ListBullet"/>
      </w:pPr>
      <w:r>
        <w:t>pretraživanje prema mjestu/županiji, ako se odredi</w:t>
      </w:r>
    </w:p>
    <w:p>
      <w:pPr>
        <w:pStyle w:val="ListBullet"/>
      </w:pPr>
      <w:r>
        <w:t>prikaz statusa ovlaštenja/licence ako je primjenjivo</w:t>
      </w:r>
    </w:p>
    <w:p>
      <w:pPr>
        <w:pStyle w:val="ListBullet"/>
      </w:pPr>
      <w:r>
        <w:t>prikaz drugih javnih podataka koje Komora odredi</w:t>
      </w:r>
    </w:p>
    <w:p>
      <w:pPr>
        <w:pStyle w:val="ListBullet"/>
      </w:pPr>
      <w:r>
        <w:t>zaštita nejavnih osobnih podataka</w:t>
      </w:r>
    </w:p>
    <w:p>
      <w:pPr>
        <w:pStyle w:val="Heading2"/>
      </w:pPr>
      <w:r>
        <w:t>4.3. Poslovni procesi i dokumenti</w:t>
      </w:r>
    </w:p>
    <w:p>
      <w:pPr>
        <w:pStyle w:val="ListBullet"/>
      </w:pPr>
      <w:r>
        <w:t>definiranje procesa i statusa</w:t>
      </w:r>
    </w:p>
    <w:p>
      <w:pPr>
        <w:pStyle w:val="ListBullet"/>
      </w:pPr>
      <w:r>
        <w:t>vezivanje dokumenata uz osobu i proces</w:t>
      </w:r>
    </w:p>
    <w:p>
      <w:pPr>
        <w:pStyle w:val="ListBullet"/>
      </w:pPr>
      <w:r>
        <w:t>generiranje dokumenata iz podataka baze</w:t>
      </w:r>
    </w:p>
    <w:p>
      <w:pPr>
        <w:pStyle w:val="ListBullet"/>
      </w:pPr>
      <w:r>
        <w:t>evidencija rokova i statusa</w:t>
      </w:r>
    </w:p>
    <w:p>
      <w:pPr>
        <w:pStyle w:val="ListBullet"/>
      </w:pPr>
      <w:r>
        <w:t>pretraga i filtriranje procesa</w:t>
      </w:r>
    </w:p>
    <w:p>
      <w:pPr>
        <w:pStyle w:val="ListBullet"/>
      </w:pPr>
      <w:r>
        <w:t>izvještavanje</w:t>
      </w:r>
    </w:p>
    <w:p>
      <w:pPr>
        <w:pStyle w:val="Heading2"/>
      </w:pPr>
      <w:r>
        <w:t>4.4. Administrativni modul</w:t>
      </w:r>
    </w:p>
    <w:p>
      <w:pPr>
        <w:pStyle w:val="ListBullet"/>
      </w:pPr>
      <w:r>
        <w:t>upravljanje korisnicima</w:t>
      </w:r>
    </w:p>
    <w:p>
      <w:pPr>
        <w:pStyle w:val="ListBullet"/>
      </w:pPr>
      <w:r>
        <w:t>upravljanje ulogama i pravima</w:t>
      </w:r>
    </w:p>
    <w:p>
      <w:pPr>
        <w:pStyle w:val="ListBullet"/>
      </w:pPr>
      <w:r>
        <w:t>horizontalna i vertikalna prava pristupa</w:t>
      </w:r>
    </w:p>
    <w:p>
      <w:pPr>
        <w:pStyle w:val="ListBullet"/>
      </w:pPr>
      <w:r>
        <w:t>upravljanje šifrarnicima</w:t>
      </w:r>
    </w:p>
    <w:p>
      <w:pPr>
        <w:pStyle w:val="ListBullet"/>
      </w:pPr>
      <w:r>
        <w:t>konfiguracija sustava</w:t>
      </w:r>
    </w:p>
    <w:p>
      <w:pPr>
        <w:pStyle w:val="ListBullet"/>
      </w:pPr>
      <w:r>
        <w:t>upravljanje javno vidljivim poljima</w:t>
      </w:r>
    </w:p>
    <w:p>
      <w:pPr>
        <w:pStyle w:val="ListBullet"/>
      </w:pPr>
      <w:r>
        <w:t>upravljanje API pristupima</w:t>
      </w:r>
    </w:p>
    <w:p>
      <w:pPr>
        <w:pStyle w:val="Heading1"/>
      </w:pPr>
      <w:r>
        <w:t>5. API i interoperabilnost</w:t>
      </w:r>
    </w:p>
    <w:p>
      <w:pPr>
        <w:pStyle w:val="ListBullet"/>
      </w:pPr>
      <w:r>
        <w:t>API za prihvat podataka od ovlaštenih vanjskih sustava</w:t>
      </w:r>
    </w:p>
    <w:p>
      <w:pPr>
        <w:pStyle w:val="ListBullet"/>
      </w:pPr>
      <w:r>
        <w:t>API za dijeljenje podataka prema ovlaštenim sustavima</w:t>
      </w:r>
    </w:p>
    <w:p>
      <w:pPr>
        <w:pStyle w:val="ListBullet"/>
      </w:pPr>
      <w:r>
        <w:t>autentikacija i autorizacija API poziva</w:t>
      </w:r>
    </w:p>
    <w:p>
      <w:pPr>
        <w:pStyle w:val="ListBullet"/>
      </w:pPr>
      <w:r>
        <w:t>evidentiranje svih API transakcija</w:t>
      </w:r>
    </w:p>
    <w:p>
      <w:pPr>
        <w:pStyle w:val="ListBullet"/>
      </w:pPr>
      <w:r>
        <w:t>mapiranje polja između sustava</w:t>
      </w:r>
    </w:p>
    <w:p>
      <w:pPr>
        <w:pStyle w:val="ListBullet"/>
      </w:pPr>
      <w:r>
        <w:t>mogućnost povezivanja s postojećim aplikacijama Komore</w:t>
      </w:r>
    </w:p>
    <w:p>
      <w:pPr>
        <w:pStyle w:val="ListBullet"/>
      </w:pPr>
      <w:r>
        <w:t>mogućnost budućeg povezivanja s e-Građanima ili drugim sustavima, ako se osigura pravna i tehnička osnova</w:t>
      </w:r>
    </w:p>
    <w:p>
      <w:pPr>
        <w:pStyle w:val="Heading1"/>
      </w:pPr>
      <w:r>
        <w:t>6. Sigurnost i audit</w:t>
      </w:r>
    </w:p>
    <w:p>
      <w:pPr>
        <w:pStyle w:val="ListBullet"/>
      </w:pPr>
      <w:r>
        <w:t>kontrola pristupa prema ulogama</w:t>
      </w:r>
    </w:p>
    <w:p>
      <w:pPr>
        <w:pStyle w:val="ListBullet"/>
      </w:pPr>
      <w:r>
        <w:t>sigurna autentikacija</w:t>
      </w:r>
    </w:p>
    <w:p>
      <w:pPr>
        <w:pStyle w:val="ListBullet"/>
      </w:pPr>
      <w:r>
        <w:t>zaštita komunikacije</w:t>
      </w:r>
    </w:p>
    <w:p>
      <w:pPr>
        <w:pStyle w:val="ListBullet"/>
      </w:pPr>
      <w:r>
        <w:t>dnevnički zapis prijava i relevantnih radnji</w:t>
      </w:r>
    </w:p>
    <w:p>
      <w:pPr>
        <w:pStyle w:val="ListBullet"/>
      </w:pPr>
      <w:r>
        <w:t>praćenje promjena podataka</w:t>
      </w:r>
    </w:p>
    <w:p>
      <w:pPr>
        <w:pStyle w:val="ListBullet"/>
      </w:pPr>
      <w:r>
        <w:t>upravljanje sesijama</w:t>
      </w:r>
    </w:p>
    <w:p>
      <w:pPr>
        <w:pStyle w:val="ListBullet"/>
      </w:pPr>
      <w:r>
        <w:t>sigurnosne kopije prema dogovorenoj politici</w:t>
      </w:r>
    </w:p>
    <w:p>
      <w:pPr>
        <w:pStyle w:val="ListBullet"/>
      </w:pPr>
      <w:r>
        <w:t>postupanje u slučaju sigurnosnog incidenta</w:t>
      </w:r>
    </w:p>
    <w:p>
      <w:pPr>
        <w:pStyle w:val="Heading1"/>
      </w:pPr>
      <w:r>
        <w:t>7. Migracija postojećih podataka</w:t>
      </w:r>
    </w:p>
    <w:p>
      <w:r>
        <w:t>Odabrani ponuditelj mora analizirati postojeće izvore podataka, izraditi plan migracije, očistiti i mapirati podatke, provesti testnu migraciju te završnu migraciju uz očuvanje integriteta i sljedivosti podataka.</w:t>
      </w:r>
    </w:p>
    <w:p>
      <w:pPr>
        <w:pStyle w:val="Heading1"/>
      </w:pPr>
      <w:r>
        <w:t>8. Izvještavanje</w:t>
      </w:r>
    </w:p>
    <w:p>
      <w:pPr>
        <w:pStyle w:val="ListBullet"/>
      </w:pPr>
      <w:r>
        <w:t>standardna izvješća o članovima i statusima</w:t>
      </w:r>
    </w:p>
    <w:p>
      <w:pPr>
        <w:pStyle w:val="ListBullet"/>
      </w:pPr>
      <w:r>
        <w:t>izvješća o promjenama</w:t>
      </w:r>
    </w:p>
    <w:p>
      <w:pPr>
        <w:pStyle w:val="ListBullet"/>
      </w:pPr>
      <w:r>
        <w:t>izvoz u strukturirane formate</w:t>
      </w:r>
    </w:p>
    <w:p>
      <w:pPr>
        <w:pStyle w:val="ListBullet"/>
      </w:pPr>
      <w:r>
        <w:t>mogućnost definiranja dodatnih izvještaja prema potrebama Komore</w:t>
      </w:r>
    </w:p>
    <w:p>
      <w:pPr>
        <w:pStyle w:val="Heading1"/>
      </w:pPr>
      <w:r>
        <w:t>9. Edukacija i dokumentacija</w:t>
      </w:r>
    </w:p>
    <w:p>
      <w:r>
        <w:t>Ponuditelj mora provesti edukaciju ovlaštenih korisnika Komore i isporučiti korisničku i administratorsku dokumentaciju te tehničku dokumentaciju potrebnu za održavanje sustava.</w:t>
      </w:r>
    </w:p>
    <w:p>
      <w:pPr>
        <w:pStyle w:val="Heading1"/>
      </w:pPr>
      <w:r>
        <w:t>10. Jamstvo i održavanje</w:t>
      </w:r>
    </w:p>
    <w:p>
      <w:r>
        <w:t>Jamstvo traje najmanje 12 mjeseci od primopredaje. Adaptivno održavanje provodi se prema ugovorenoj satnici i opsegu.</w:t>
      </w:r>
    </w:p>
    <w:p>
      <w:pPr>
        <w:pStyle w:val="Heading1"/>
      </w:pPr>
      <w:r>
        <w:t>11. Tehnički standardi</w:t>
      </w:r>
    </w:p>
    <w:p>
      <w:pPr>
        <w:pStyle w:val="ListBullet"/>
      </w:pPr>
      <w:r>
        <w:t>responzivno web sučelje</w:t>
      </w:r>
    </w:p>
    <w:p>
      <w:pPr>
        <w:pStyle w:val="ListBullet"/>
      </w:pPr>
      <w:r>
        <w:t>kompatibilnost s aktualnim verzijama uobičajenih web preglednika</w:t>
      </w:r>
    </w:p>
    <w:p>
      <w:pPr>
        <w:pStyle w:val="ListBullet"/>
      </w:pPr>
      <w:r>
        <w:t>relacijska baza podataka</w:t>
      </w:r>
    </w:p>
    <w:p>
      <w:pPr>
        <w:pStyle w:val="ListBullet"/>
      </w:pPr>
      <w:r>
        <w:t>dokumentirani API</w:t>
      </w:r>
    </w:p>
    <w:p>
      <w:pPr>
        <w:pStyle w:val="ListBullet"/>
      </w:pPr>
      <w:r>
        <w:t>mogućnost sigurnog izvoza podataka</w:t>
      </w:r>
    </w:p>
    <w:p>
      <w:pPr>
        <w:pStyle w:val="ListBullet"/>
      </w:pPr>
      <w:r>
        <w:t>skalabilna arhitektura</w:t>
      </w:r>
    </w:p>
    <w:sectPr w:rsidR="00FC693F" w:rsidRPr="0006063C" w:rsidSect="00034616"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